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29" w:rsidRPr="007F1F3A" w:rsidRDefault="00A51C6D" w:rsidP="00E20129">
      <w:pPr>
        <w:jc w:val="right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-7.8pt;width:85.8pt;height:81pt;z-index:251658240;visibility:visible;mso-wrap-edited:f">
            <v:imagedata r:id="rId5" o:title=""/>
          </v:shape>
          <o:OLEObject Type="Embed" ProgID="Word.Picture.8" ShapeID="_x0000_s1026" DrawAspect="Content" ObjectID="_1632832991" r:id="rId6"/>
        </w:object>
      </w:r>
      <w:bookmarkEnd w:id="0"/>
    </w:p>
    <w:p w:rsidR="00E20129" w:rsidRPr="007F1F3A" w:rsidRDefault="00E20129" w:rsidP="00E20129">
      <w:pPr>
        <w:rPr>
          <w:sz w:val="26"/>
          <w:szCs w:val="26"/>
        </w:rPr>
      </w:pPr>
    </w:p>
    <w:p w:rsidR="00E20129" w:rsidRPr="007F1F3A" w:rsidRDefault="00E20129" w:rsidP="00E20129">
      <w:pPr>
        <w:rPr>
          <w:sz w:val="26"/>
          <w:szCs w:val="26"/>
        </w:rPr>
      </w:pPr>
    </w:p>
    <w:p w:rsidR="00E20129" w:rsidRPr="007F1F3A" w:rsidRDefault="00E20129" w:rsidP="00E20129">
      <w:pPr>
        <w:rPr>
          <w:sz w:val="26"/>
          <w:szCs w:val="26"/>
        </w:rPr>
      </w:pPr>
    </w:p>
    <w:p w:rsidR="00E20129" w:rsidRPr="007F1F3A" w:rsidRDefault="00E20129" w:rsidP="00E20129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E20129" w:rsidRPr="007F1F3A" w:rsidRDefault="00E20129" w:rsidP="00E20129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E20129" w:rsidRPr="007F1F3A" w:rsidRDefault="00E20129" w:rsidP="00E20129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E20129" w:rsidRPr="007F1F3A" w:rsidRDefault="00E20129" w:rsidP="00E20129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E20129" w:rsidRPr="007F1F3A" w:rsidRDefault="00E20129" w:rsidP="00E20129">
      <w:pPr>
        <w:jc w:val="center"/>
        <w:rPr>
          <w:b/>
          <w:sz w:val="26"/>
          <w:szCs w:val="26"/>
        </w:rPr>
      </w:pPr>
    </w:p>
    <w:p w:rsidR="00E20129" w:rsidRPr="00E20129" w:rsidRDefault="00E20129" w:rsidP="00E20129">
      <w:pPr>
        <w:jc w:val="center"/>
        <w:rPr>
          <w:b/>
          <w:sz w:val="28"/>
          <w:szCs w:val="28"/>
        </w:rPr>
      </w:pPr>
      <w:r w:rsidRPr="00E20129">
        <w:rPr>
          <w:b/>
          <w:sz w:val="28"/>
          <w:szCs w:val="28"/>
        </w:rPr>
        <w:t>РЕШЕНИЕ</w:t>
      </w:r>
    </w:p>
    <w:p w:rsidR="00E20129" w:rsidRDefault="00E20129" w:rsidP="00E20129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>
        <w:rPr>
          <w:sz w:val="28"/>
          <w:szCs w:val="28"/>
        </w:rPr>
        <w:t>16 октября</w:t>
      </w:r>
      <w:r w:rsidRPr="007F1F3A">
        <w:rPr>
          <w:sz w:val="28"/>
          <w:szCs w:val="28"/>
        </w:rPr>
        <w:t xml:space="preserve"> 2019 года №</w:t>
      </w:r>
      <w:r>
        <w:rPr>
          <w:sz w:val="28"/>
          <w:szCs w:val="28"/>
        </w:rPr>
        <w:t>13</w:t>
      </w:r>
    </w:p>
    <w:p w:rsidR="00E20129" w:rsidRDefault="00E20129" w:rsidP="00E20129">
      <w:pPr>
        <w:pStyle w:val="ConsPlusTitle"/>
        <w:widowControl/>
        <w:jc w:val="center"/>
        <w:rPr>
          <w:b w:val="0"/>
        </w:rPr>
      </w:pPr>
    </w:p>
    <w:p w:rsidR="00E20129" w:rsidRPr="00E20129" w:rsidRDefault="00E20129" w:rsidP="00E20129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 xml:space="preserve">О внесении изменений и дополнений в </w:t>
      </w:r>
      <w:r>
        <w:rPr>
          <w:sz w:val="26"/>
          <w:szCs w:val="26"/>
        </w:rPr>
        <w:t>р</w:t>
      </w:r>
      <w:r w:rsidRPr="00E20129">
        <w:rPr>
          <w:sz w:val="26"/>
          <w:szCs w:val="26"/>
        </w:rPr>
        <w:t>ешение Представительного Собрания</w:t>
      </w:r>
    </w:p>
    <w:p w:rsidR="00E20129" w:rsidRPr="00E20129" w:rsidRDefault="00E20129" w:rsidP="00E20129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 xml:space="preserve">Суджанского района Курской области от 25.10.2011 года № 163 </w:t>
      </w:r>
    </w:p>
    <w:p w:rsidR="00E20129" w:rsidRPr="00E20129" w:rsidRDefault="00E20129" w:rsidP="00E20129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>«Об утверждении Положения о бюджетном процессе в муниципальном</w:t>
      </w:r>
    </w:p>
    <w:p w:rsidR="00E20129" w:rsidRPr="00E20129" w:rsidRDefault="00E20129" w:rsidP="00E20129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>районе «</w:t>
      </w:r>
      <w:proofErr w:type="spellStart"/>
      <w:r w:rsidRPr="00E20129">
        <w:rPr>
          <w:sz w:val="26"/>
          <w:szCs w:val="26"/>
        </w:rPr>
        <w:t>Суджанский</w:t>
      </w:r>
      <w:proofErr w:type="spellEnd"/>
      <w:r w:rsidRPr="00E20129">
        <w:rPr>
          <w:sz w:val="26"/>
          <w:szCs w:val="26"/>
        </w:rPr>
        <w:t xml:space="preserve"> район» Курской области»</w:t>
      </w:r>
    </w:p>
    <w:p w:rsidR="00E20129" w:rsidRPr="00E20129" w:rsidRDefault="00E20129" w:rsidP="00E201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0129">
        <w:rPr>
          <w:b/>
          <w:sz w:val="26"/>
          <w:szCs w:val="26"/>
        </w:rPr>
        <w:t>(с учетом изменений и дополнений)</w:t>
      </w:r>
    </w:p>
    <w:p w:rsidR="00E20129" w:rsidRPr="00E20129" w:rsidRDefault="00E20129" w:rsidP="00E20129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E20129">
        <w:rPr>
          <w:rStyle w:val="nobr"/>
          <w:rFonts w:ascii="Arial" w:eastAsiaTheme="majorEastAsia" w:hAnsi="Arial" w:cs="Arial"/>
          <w:color w:val="333333"/>
          <w:sz w:val="26"/>
          <w:szCs w:val="26"/>
        </w:rPr>
        <w:t> </w:t>
      </w:r>
    </w:p>
    <w:p w:rsidR="00A72C08" w:rsidRPr="00A72C08" w:rsidRDefault="00A72C08" w:rsidP="00A72C08">
      <w:pPr>
        <w:pStyle w:val="ConsPlusTitle"/>
        <w:widowControl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            В соответствии с Федеральным Законом Российской Федерации №199-ФЗ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b w:val="0"/>
          <w:sz w:val="26"/>
          <w:szCs w:val="26"/>
        </w:rPr>
        <w:t>,</w:t>
      </w:r>
      <w:r w:rsidRPr="00A72C08">
        <w:rPr>
          <w:b w:val="0"/>
          <w:sz w:val="26"/>
          <w:szCs w:val="26"/>
        </w:rPr>
        <w:t xml:space="preserve"> Представительное Собрание Суджанского района Курской области РЕШИЛО:</w:t>
      </w:r>
    </w:p>
    <w:p w:rsidR="00A72C08" w:rsidRPr="00A72C08" w:rsidRDefault="00A72C08" w:rsidP="00A72C08">
      <w:pPr>
        <w:pStyle w:val="ConsPlusTitle"/>
        <w:widowControl/>
        <w:numPr>
          <w:ilvl w:val="0"/>
          <w:numId w:val="2"/>
        </w:numPr>
        <w:ind w:left="0" w:firstLine="7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Внести следующие изменения и дополнения в Решение Представительного Собрания Суджанского района Курской области от 25 октября 2011 года №163 «Об утверждении </w:t>
      </w:r>
      <w:hyperlink r:id="rId7" w:history="1">
        <w:r w:rsidRPr="00A72C08">
          <w:rPr>
            <w:b w:val="0"/>
            <w:sz w:val="26"/>
            <w:szCs w:val="26"/>
          </w:rPr>
          <w:t>Положени</w:t>
        </w:r>
      </w:hyperlink>
      <w:r w:rsidRPr="00A72C08">
        <w:rPr>
          <w:b w:val="0"/>
          <w:sz w:val="26"/>
          <w:szCs w:val="26"/>
        </w:rPr>
        <w:t>я о бюджетном процессе в муниципальном районе "</w:t>
      </w:r>
      <w:proofErr w:type="spellStart"/>
      <w:r w:rsidRPr="00A72C08">
        <w:rPr>
          <w:b w:val="0"/>
          <w:sz w:val="26"/>
          <w:szCs w:val="26"/>
        </w:rPr>
        <w:t>Суджанский</w:t>
      </w:r>
      <w:proofErr w:type="spellEnd"/>
      <w:r w:rsidRPr="00A72C08">
        <w:rPr>
          <w:b w:val="0"/>
          <w:sz w:val="26"/>
          <w:szCs w:val="26"/>
        </w:rPr>
        <w:t xml:space="preserve"> район" Курской области» (в редакции решения от 16.03.2016 года №155):</w:t>
      </w:r>
    </w:p>
    <w:p w:rsidR="00A72C08" w:rsidRPr="00A72C08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Статью 3 изложить в новой редакции: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6"/>
          <w:szCs w:val="26"/>
        </w:rPr>
      </w:pPr>
      <w:r w:rsidRPr="00A72C08">
        <w:rPr>
          <w:b/>
          <w:sz w:val="26"/>
          <w:szCs w:val="26"/>
        </w:rPr>
        <w:t>«Статья 3</w:t>
      </w:r>
      <w:r w:rsidRPr="00A72C08">
        <w:rPr>
          <w:bCs/>
          <w:sz w:val="26"/>
          <w:szCs w:val="26"/>
        </w:rPr>
        <w:t>.</w:t>
      </w:r>
      <w:r w:rsidRPr="00A72C08">
        <w:rPr>
          <w:b/>
          <w:sz w:val="26"/>
          <w:szCs w:val="26"/>
        </w:rPr>
        <w:t xml:space="preserve"> Основные понятия и термины, применяемые в настоящем Положении</w:t>
      </w:r>
    </w:p>
    <w:p w:rsidR="00A72C08" w:rsidRPr="00A72C08" w:rsidRDefault="00A72C08" w:rsidP="00A72C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   Понятия и термины, применяемые в настоящем Положении, использованы в значениях, определенных Бюджетным кодексом Российской Федерации.»     </w:t>
      </w:r>
    </w:p>
    <w:p w:rsidR="00A72C08" w:rsidRPr="00A72C08" w:rsidRDefault="00A72C08" w:rsidP="00A72C08">
      <w:pPr>
        <w:pStyle w:val="ConsNormal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>в статье 12 пункт 5 изложить в новой редакции:</w:t>
      </w:r>
    </w:p>
    <w:p w:rsidR="00A72C08" w:rsidRPr="00A72C08" w:rsidRDefault="00A72C08" w:rsidP="00A72C08">
      <w:pPr>
        <w:pStyle w:val="ConsNormal"/>
        <w:widowControl/>
        <w:ind w:right="0" w:firstLine="1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>«5. Разработка прогноза социально-экономического развития Суджанского района на очередной финансовый год и плановый период осуществляется финансово-экономическим управлением Администрации Суджанского района Курской области.»</w:t>
      </w:r>
    </w:p>
    <w:p w:rsidR="00A72C08" w:rsidRPr="00A72C08" w:rsidRDefault="00A72C08" w:rsidP="00A72C0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>в статье 14:</w:t>
      </w:r>
    </w:p>
    <w:p w:rsidR="00A72C08" w:rsidRPr="00A72C08" w:rsidRDefault="00A72C08" w:rsidP="00A72C08">
      <w:pPr>
        <w:pStyle w:val="ConsNormal"/>
        <w:widowControl/>
        <w:ind w:right="0" w:firstLine="1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>слова «Администрацией Суджанского района Курской области» заменить словами «Финансово-экономическим управлением Администрации Суджанского района Курской области»;</w:t>
      </w:r>
    </w:p>
    <w:p w:rsidR="00A72C08" w:rsidRPr="00A72C08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в статье 16: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а) в пункте 2 слова «и иными нормативными актами Суджанского района Курской области (кроме решения о бюджете) исключить;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б) пункт 4 изложить в новой редакции: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«4. Решением о бюджете утверждаются: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перечень главных администраторов доходов бюджета муниципального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перечень главных администраторов источников финансирования дефицита бюджета муниципального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прогнозируемое поступление доходов в бюджет муниципального района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источники финансирования дефицита бюджета муниципального района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lastRenderedPageBreak/>
        <w:t xml:space="preserve"> -распределение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и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района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-ведомственная структура расходов бюджета муниципального района на очередной финансовый год и плановый период, содержащая распределение бюджетных ассигнований по главным распорядителям средств бюджета муниципального района,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- 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гарантиям».             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в) пункт 5 изложить в новой редакции: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«5. Одновременно с проектом решения о бюджете муниципального района в Представительное Собрание Суджанского района Курской области представляются: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основные направления бюджетной и налоговой политики;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 социально-экономического развития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Суджанского района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пояснительная записка к проекту бюджета муниципального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методика (проекты методики) и расчеты распределения межбюджетных трансфертов;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оценка ожидаемого исполнения бюджета муниципального района на текущий финансовый год;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реестр источников доходов бюджета муниципального района;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предложенные Представительным Собранием Суджанского района Курской области проекты их бюджетных смет, представляемые в случае возникновения разногласий с Финансово-экономическим управлением Администрации Суджанского района в отношении указанных бюджетных смет;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паспорта муниципальных программ Суджанского района Курской области (проекты изменений в указанные паспорта);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lastRenderedPageBreak/>
        <w:t>- иные документы и материалы, установленные Бюджетным кодексом Российской Федерации и настоящим Положением.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72C08">
        <w:rPr>
          <w:bCs/>
          <w:sz w:val="26"/>
          <w:szCs w:val="26"/>
        </w:rPr>
        <w:t xml:space="preserve">         Проект бюджета муниципального района "</w:t>
      </w:r>
      <w:proofErr w:type="spellStart"/>
      <w:r w:rsidRPr="00A72C08">
        <w:rPr>
          <w:bCs/>
          <w:sz w:val="26"/>
          <w:szCs w:val="26"/>
        </w:rPr>
        <w:t>Суджанский</w:t>
      </w:r>
      <w:proofErr w:type="spellEnd"/>
      <w:r w:rsidRPr="00A72C08">
        <w:rPr>
          <w:bCs/>
          <w:sz w:val="26"/>
          <w:szCs w:val="26"/>
        </w:rPr>
        <w:t xml:space="preserve"> район" Курской                        области, вносимый в Представительное Собрание Суджанского района Курской области, подлежит официальному опубликованию (обнародованию).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5) в статье 24: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    а) в пункте 3 абзац 5 изложить в новой редакции: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b/>
          <w:sz w:val="26"/>
          <w:szCs w:val="26"/>
        </w:rPr>
        <w:t>«</w:t>
      </w:r>
      <w:r w:rsidRPr="00A72C08">
        <w:rPr>
          <w:sz w:val="26"/>
          <w:szCs w:val="26"/>
        </w:rPr>
        <w:t>Пояснительная записка содержит информацию об исполнении бюджета муниципального района, дополняющую информацию, представленную в отчетности об исполнении бюджета муниципального района, в соответствии с требованиями к раскрытию информации, установленными в соответствии с Бюджетным кодексом Российской Федерации</w:t>
      </w:r>
      <w:proofErr w:type="gramStart"/>
      <w:r w:rsidRPr="00A72C08">
        <w:rPr>
          <w:sz w:val="26"/>
          <w:szCs w:val="26"/>
        </w:rPr>
        <w:t>».;</w:t>
      </w:r>
      <w:proofErr w:type="gramEnd"/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б) в пункте 4 слова «и стандартов» исключить.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6) в статье 25: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а) в пункте 1: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  в абзаце 1 слово «сводную» исключить;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  в абзаце 2 слово «сводную» исключить»;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7) в статье 27: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подпункт 5 пункта 2 изложить в новой редакции:</w:t>
      </w:r>
    </w:p>
    <w:p w:rsidR="00A72C08" w:rsidRPr="00A72C08" w:rsidRDefault="00A72C08" w:rsidP="00A72C08">
      <w:pPr>
        <w:autoSpaceDE w:val="0"/>
        <w:autoSpaceDN w:val="0"/>
        <w:adjustRightInd w:val="0"/>
        <w:ind w:firstLine="108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«5) пояснительная записка к годовому отчету об исполнении бюджета муниципального района, содержащая анализ исполнения бюджета муниципального района и бюджетной отчетности, и сведения о выполнении муниципального задания и (или) иных результатов использования бюджетных ассигнований;»;</w:t>
      </w:r>
    </w:p>
    <w:p w:rsidR="00A72C08" w:rsidRPr="00A72C08" w:rsidRDefault="00A72C08" w:rsidP="00A72C0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8)  </w:t>
      </w:r>
      <w:r w:rsidRPr="00A72C08">
        <w:rPr>
          <w:b/>
          <w:bCs/>
          <w:sz w:val="26"/>
          <w:szCs w:val="26"/>
        </w:rPr>
        <w:t xml:space="preserve">Раздел </w:t>
      </w:r>
      <w:r w:rsidRPr="00A72C08">
        <w:rPr>
          <w:b/>
          <w:bCs/>
          <w:sz w:val="26"/>
          <w:szCs w:val="26"/>
          <w:lang w:val="en-US"/>
        </w:rPr>
        <w:t>V</w:t>
      </w:r>
      <w:r w:rsidRPr="00A72C08">
        <w:rPr>
          <w:b/>
          <w:bCs/>
          <w:sz w:val="26"/>
          <w:szCs w:val="26"/>
        </w:rPr>
        <w:t>. Муниципальный финансовый контроль</w:t>
      </w:r>
      <w:r w:rsidRPr="00A72C08">
        <w:rPr>
          <w:sz w:val="26"/>
          <w:szCs w:val="26"/>
        </w:rPr>
        <w:t xml:space="preserve"> изложить в новой редакции: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Cs w:val="0"/>
          <w:sz w:val="26"/>
          <w:szCs w:val="26"/>
        </w:rPr>
      </w:pPr>
      <w:r w:rsidRPr="00A72C08">
        <w:rPr>
          <w:b w:val="0"/>
          <w:sz w:val="26"/>
          <w:szCs w:val="26"/>
        </w:rPr>
        <w:t>«</w:t>
      </w:r>
      <w:r w:rsidRPr="00A72C08">
        <w:rPr>
          <w:bCs w:val="0"/>
          <w:sz w:val="26"/>
          <w:szCs w:val="26"/>
        </w:rPr>
        <w:t>Статья 29. Виды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>2. Внешний муниципальный финансовый контроль является контрольной деятельностью Ревизионной комиссии Суджанского района Курской области.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>3. Внутренний муниципальный финансовый контроль является контрольной деятельностью Финансово-экономического управления Администрации Суджанского района Курской области.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4.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района.</w:t>
      </w:r>
    </w:p>
    <w:p w:rsidR="00A72C08" w:rsidRPr="00A72C08" w:rsidRDefault="00A72C08" w:rsidP="00A72C08">
      <w:pPr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>5. Последующий контроль осуществляется по результатам исполнения бюджета муниципального района в целях установления законности их исполнения, достоверности учета и отчетности.</w:t>
      </w:r>
    </w:p>
    <w:p w:rsidR="00A72C08" w:rsidRPr="00A72C08" w:rsidRDefault="00A72C08" w:rsidP="00A72C08">
      <w:pPr>
        <w:ind w:firstLine="540"/>
        <w:jc w:val="both"/>
        <w:rPr>
          <w:b/>
          <w:sz w:val="26"/>
          <w:szCs w:val="26"/>
        </w:rPr>
      </w:pPr>
      <w:r w:rsidRPr="00A72C08">
        <w:rPr>
          <w:sz w:val="26"/>
          <w:szCs w:val="26"/>
        </w:rPr>
        <w:t xml:space="preserve">   </w:t>
      </w:r>
      <w:r w:rsidRPr="00A72C08">
        <w:rPr>
          <w:b/>
          <w:bCs/>
          <w:sz w:val="26"/>
          <w:szCs w:val="26"/>
        </w:rPr>
        <w:t>Статья 29.1.</w:t>
      </w:r>
      <w:r w:rsidRPr="00A72C08">
        <w:rPr>
          <w:sz w:val="26"/>
          <w:szCs w:val="26"/>
        </w:rPr>
        <w:t xml:space="preserve"> </w:t>
      </w:r>
      <w:r w:rsidRPr="00A72C08">
        <w:rPr>
          <w:b/>
          <w:sz w:val="26"/>
          <w:szCs w:val="26"/>
        </w:rPr>
        <w:t>Объекты муниципального финансового контроля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1. Объектами муниципального финансового контроля (далее - объекты контроля) являются: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главные распорядители (получатели)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lastRenderedPageBreak/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муниципальные учреждения;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муниципальные унитарные предприятия;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лица, являющиеся: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8288"/>
      <w:bookmarkEnd w:id="1"/>
      <w:r w:rsidRPr="00A72C08">
        <w:rPr>
          <w:sz w:val="26"/>
          <w:szCs w:val="26"/>
        </w:rPr>
        <w:t>2.Муниципальный финансовый контроль в отношении объектов контроля (за исключением участников бюджетного процесса, муниципальных унитарных предприятий),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2.1.Муниципальный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A72C08">
        <w:rPr>
          <w:sz w:val="26"/>
          <w:szCs w:val="26"/>
        </w:rPr>
        <w:t>софинансирования</w:t>
      </w:r>
      <w:proofErr w:type="spellEnd"/>
      <w:r w:rsidRPr="00A72C08">
        <w:rPr>
          <w:sz w:val="26"/>
          <w:szCs w:val="26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 указанные межбюджетные трансферты, в отношении: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главных администраторов (администраторов) средств бюджета муниципального образования, предоставивших иные межбюджетные трансферты, имеющие целевое назначение, бюджетные кредиты;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</w:t>
      </w:r>
      <w:proofErr w:type="gramStart"/>
      <w:r w:rsidRPr="00A72C08">
        <w:rPr>
          <w:sz w:val="26"/>
          <w:szCs w:val="26"/>
        </w:rPr>
        <w:t>предоставлены  иные</w:t>
      </w:r>
      <w:proofErr w:type="gramEnd"/>
      <w:r w:rsidRPr="00A72C08">
        <w:rPr>
          <w:sz w:val="26"/>
          <w:szCs w:val="26"/>
        </w:rPr>
        <w:t xml:space="preserve">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</w:t>
      </w:r>
      <w:r w:rsidRPr="00A72C08">
        <w:rPr>
          <w:color w:val="000000" w:themeColor="text1"/>
          <w:sz w:val="26"/>
          <w:szCs w:val="26"/>
        </w:rPr>
        <w:t xml:space="preserve">положений </w:t>
      </w:r>
      <w:hyperlink w:anchor="p8288" w:history="1">
        <w:r w:rsidRPr="00A72C08">
          <w:rPr>
            <w:rStyle w:val="a3"/>
            <w:color w:val="000000" w:themeColor="text1"/>
            <w:sz w:val="26"/>
            <w:szCs w:val="26"/>
            <w:u w:val="none"/>
          </w:rPr>
          <w:t>пункта 2</w:t>
        </w:r>
      </w:hyperlink>
      <w:r w:rsidRPr="00A72C08">
        <w:rPr>
          <w:sz w:val="26"/>
          <w:szCs w:val="26"/>
        </w:rPr>
        <w:t xml:space="preserve"> настоящей статьи), которым предоставлены средства из этого бюджета.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bookmarkStart w:id="2" w:name="p8305"/>
      <w:bookmarkEnd w:id="2"/>
      <w:r w:rsidRPr="00A72C08">
        <w:rPr>
          <w:sz w:val="26"/>
          <w:szCs w:val="26"/>
        </w:rPr>
        <w:t>3.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</w:p>
    <w:p w:rsidR="00A72C08" w:rsidRPr="00A72C08" w:rsidRDefault="00A72C08" w:rsidP="00A72C08">
      <w:pPr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p8305" w:history="1">
        <w:r w:rsidRPr="00A72C08">
          <w:rPr>
            <w:rStyle w:val="a3"/>
            <w:color w:val="000000" w:themeColor="text1"/>
            <w:sz w:val="26"/>
            <w:szCs w:val="26"/>
            <w:u w:val="none"/>
          </w:rPr>
          <w:t>абзаце первом</w:t>
        </w:r>
      </w:hyperlink>
      <w:r w:rsidRPr="00A72C08">
        <w:rPr>
          <w:sz w:val="26"/>
          <w:szCs w:val="26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</w:t>
      </w:r>
      <w:r w:rsidRPr="00A72C08">
        <w:rPr>
          <w:sz w:val="26"/>
          <w:szCs w:val="26"/>
        </w:rPr>
        <w:lastRenderedPageBreak/>
        <w:t>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A72C08" w:rsidRPr="00A72C08" w:rsidRDefault="00A72C08" w:rsidP="00A72C08">
      <w:pPr>
        <w:pStyle w:val="7"/>
        <w:rPr>
          <w:b/>
          <w:sz w:val="26"/>
          <w:szCs w:val="26"/>
        </w:rPr>
      </w:pPr>
      <w:r w:rsidRPr="00A72C08">
        <w:rPr>
          <w:b/>
          <w:sz w:val="26"/>
          <w:szCs w:val="26"/>
        </w:rPr>
        <w:t>Статья 30.  Полномочия Ревизионной комиссии Суджанского района Курской области по осуществлению внешнего муниципального финансового контроля</w:t>
      </w:r>
    </w:p>
    <w:p w:rsidR="00A72C08" w:rsidRPr="00A72C08" w:rsidRDefault="00A72C08" w:rsidP="00A72C08">
      <w:pPr>
        <w:pStyle w:val="7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A72C08">
        <w:rPr>
          <w:sz w:val="26"/>
          <w:szCs w:val="26"/>
        </w:rPr>
        <w:t>1.Полномочиями Ревизионной комиссии Суджанского района Курской области по осуществлению внешнего муниципального финансового контроля являются:</w:t>
      </w:r>
    </w:p>
    <w:p w:rsidR="00A72C08" w:rsidRPr="00A72C08" w:rsidRDefault="00A72C08" w:rsidP="00A72C08">
      <w:pPr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муниципального района «</w:t>
      </w:r>
      <w:proofErr w:type="spellStart"/>
      <w:r w:rsidRPr="00A72C08">
        <w:rPr>
          <w:sz w:val="26"/>
          <w:szCs w:val="26"/>
        </w:rPr>
        <w:t>Суджанский</w:t>
      </w:r>
      <w:proofErr w:type="spellEnd"/>
      <w:r w:rsidRPr="00A72C08">
        <w:rPr>
          <w:sz w:val="26"/>
          <w:szCs w:val="26"/>
        </w:rPr>
        <w:t xml:space="preserve"> район» Курской области;</w:t>
      </w:r>
    </w:p>
    <w:p w:rsidR="00A72C08" w:rsidRPr="00A72C08" w:rsidRDefault="00A72C08" w:rsidP="00A72C08">
      <w:pPr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-контроль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бюджета муниципального района «</w:t>
      </w:r>
      <w:proofErr w:type="spellStart"/>
      <w:r w:rsidRPr="00A72C08">
        <w:rPr>
          <w:sz w:val="26"/>
          <w:szCs w:val="26"/>
        </w:rPr>
        <w:t>Суджанский</w:t>
      </w:r>
      <w:proofErr w:type="spellEnd"/>
      <w:r w:rsidRPr="00A72C08">
        <w:rPr>
          <w:sz w:val="26"/>
          <w:szCs w:val="26"/>
        </w:rPr>
        <w:t xml:space="preserve"> район» Курской области, квартального и годового отчетов об исполнении бюджета;</w:t>
      </w:r>
    </w:p>
    <w:p w:rsidR="00A72C08" w:rsidRPr="00A72C08" w:rsidRDefault="00A72C08" w:rsidP="00A72C08">
      <w:pPr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-контроль в других сферах, установленных Решением Представительного Собрания Суджанского района от 18.04.2016 года №169 «Об утверждении Положения Ревизионной комиссии Суджанского района Курской области» (с последующими изменениями и дополнениями).</w:t>
      </w:r>
    </w:p>
    <w:p w:rsidR="00A72C08" w:rsidRPr="00A72C08" w:rsidRDefault="00A72C08" w:rsidP="00A72C08">
      <w:pPr>
        <w:pStyle w:val="a4"/>
        <w:ind w:left="0" w:firstLine="567"/>
        <w:jc w:val="both"/>
        <w:rPr>
          <w:sz w:val="26"/>
          <w:szCs w:val="26"/>
        </w:rPr>
      </w:pPr>
      <w:r w:rsidRPr="00A72C08">
        <w:rPr>
          <w:sz w:val="26"/>
          <w:szCs w:val="26"/>
        </w:rPr>
        <w:t>Порядок осуществления полномочий Ревизионной комиссии Суджанского района Курской области по внешнему муниципальному финансовому контролю определяется федеральными законами, законами Курской области, нормативно-правовыми актами Суджанского района.</w:t>
      </w:r>
    </w:p>
    <w:p w:rsidR="00A72C08" w:rsidRPr="00A72C08" w:rsidRDefault="00A72C08" w:rsidP="00A72C08">
      <w:pPr>
        <w:ind w:firstLine="360"/>
        <w:jc w:val="both"/>
        <w:rPr>
          <w:b/>
          <w:sz w:val="26"/>
          <w:szCs w:val="26"/>
        </w:rPr>
      </w:pPr>
      <w:r w:rsidRPr="00A72C08">
        <w:rPr>
          <w:b/>
          <w:sz w:val="26"/>
          <w:szCs w:val="26"/>
        </w:rPr>
        <w:t>Статья 31.  Полномочия Финансово-экономического управления Администрации Суджанского района Курской области по осуществлению внутреннего муниципального финансового контроля</w:t>
      </w:r>
    </w:p>
    <w:p w:rsidR="00A72C08" w:rsidRPr="00A72C08" w:rsidRDefault="00A72C08" w:rsidP="00A72C08">
      <w:pPr>
        <w:ind w:firstLine="36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>1.Полномочиями Финансово-экономического управления Администрации Суджанского района Курской области по осуществлению внутреннего финансового контроля являются: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местных бюджетов,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A72C08" w:rsidRPr="00A72C08" w:rsidRDefault="00A72C08" w:rsidP="00A72C08">
      <w:pPr>
        <w:ind w:firstLine="360"/>
        <w:jc w:val="both"/>
        <w:rPr>
          <w:sz w:val="26"/>
          <w:szCs w:val="26"/>
        </w:rPr>
      </w:pP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b/>
          <w:sz w:val="26"/>
          <w:szCs w:val="26"/>
        </w:rPr>
        <w:t xml:space="preserve">  </w:t>
      </w:r>
      <w:r w:rsidRPr="00A72C08">
        <w:rPr>
          <w:bCs/>
          <w:sz w:val="26"/>
          <w:szCs w:val="26"/>
        </w:rPr>
        <w:t>2</w:t>
      </w:r>
      <w:r w:rsidRPr="00A72C08">
        <w:rPr>
          <w:b/>
          <w:sz w:val="26"/>
          <w:szCs w:val="26"/>
        </w:rPr>
        <w:t xml:space="preserve">. </w:t>
      </w:r>
      <w:r w:rsidRPr="00A72C08">
        <w:rPr>
          <w:sz w:val="26"/>
          <w:szCs w:val="26"/>
        </w:rPr>
        <w:t>При осуществлении полномочий по внутреннему муниципальному финансовому контролю Финансово-экономическим управлением Администрации Суджанского района Курской области: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проводятся проверки, ревизии и обследования;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lastRenderedPageBreak/>
        <w:t>направляются объектам контроля акты, заключения, представления и (или) предписания;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направляются финансовым органам уведомления о применении бюджетных мер принуждения;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3. Порядок осуществления полномочий контроля по внутреннему муниципальному финансовому контролю определяется соответственно постановлением Администрации Суджанского района Курской области, а также стандартами осуществления внутреннего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Порядок осуществления полномочий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>Стандарты осуществления внутреннего муниципального финансового контроля утверждаются постановлением Администрации Суджанского района Курской области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постановлением Администрации Суджанского района Курской области.</w:t>
      </w:r>
    </w:p>
    <w:p w:rsidR="00E20129" w:rsidRPr="00F05AE3" w:rsidRDefault="00A72C08" w:rsidP="00F05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    </w:t>
      </w:r>
      <w:r w:rsidR="00E20129" w:rsidRPr="00F05AE3">
        <w:rPr>
          <w:sz w:val="26"/>
          <w:szCs w:val="26"/>
        </w:rPr>
        <w:t>2.</w:t>
      </w:r>
      <w:r w:rsidR="00F05AE3">
        <w:rPr>
          <w:sz w:val="26"/>
          <w:szCs w:val="26"/>
        </w:rPr>
        <w:t xml:space="preserve"> </w:t>
      </w:r>
      <w:r w:rsidR="00E20129" w:rsidRPr="00F05AE3">
        <w:rPr>
          <w:sz w:val="26"/>
          <w:szCs w:val="26"/>
        </w:rPr>
        <w:t>Настоящее решение вступает в силу с момента подписания.</w:t>
      </w:r>
    </w:p>
    <w:p w:rsidR="00E20129" w:rsidRPr="00E20129" w:rsidRDefault="00E20129" w:rsidP="00E20129">
      <w:pPr>
        <w:pStyle w:val="ConsPlusTitle"/>
        <w:widowControl/>
        <w:jc w:val="both"/>
        <w:rPr>
          <w:b w:val="0"/>
          <w:sz w:val="26"/>
          <w:szCs w:val="26"/>
        </w:rPr>
      </w:pPr>
      <w:r w:rsidRPr="00E20129">
        <w:rPr>
          <w:b w:val="0"/>
          <w:sz w:val="26"/>
          <w:szCs w:val="26"/>
        </w:rPr>
        <w:t xml:space="preserve">      3.</w:t>
      </w:r>
      <w:r w:rsidR="00F05AE3">
        <w:rPr>
          <w:b w:val="0"/>
          <w:sz w:val="26"/>
          <w:szCs w:val="26"/>
        </w:rPr>
        <w:t xml:space="preserve"> </w:t>
      </w:r>
      <w:r w:rsidRPr="00E20129">
        <w:rPr>
          <w:b w:val="0"/>
          <w:sz w:val="26"/>
          <w:szCs w:val="26"/>
        </w:rPr>
        <w:t>Абзац 6 пункта 1 и абзац 8 пункта 2 статьи 31 применяется к правоотношениям, возникающим с 1 января 2020 года.</w:t>
      </w:r>
    </w:p>
    <w:p w:rsidR="00F05AE3" w:rsidRDefault="00F05AE3" w:rsidP="00E20129">
      <w:pPr>
        <w:ind w:left="1065" w:hanging="1065"/>
        <w:rPr>
          <w:sz w:val="26"/>
          <w:szCs w:val="26"/>
        </w:rPr>
      </w:pPr>
    </w:p>
    <w:p w:rsidR="00A72C08" w:rsidRDefault="00A72C08" w:rsidP="00E20129">
      <w:pPr>
        <w:ind w:left="1065" w:hanging="1065"/>
        <w:rPr>
          <w:sz w:val="26"/>
          <w:szCs w:val="26"/>
        </w:rPr>
      </w:pPr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>Председатель</w:t>
      </w:r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>Представительного Собрания</w:t>
      </w:r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 xml:space="preserve">Суджанского района Курской области              </w:t>
      </w:r>
      <w:r>
        <w:rPr>
          <w:sz w:val="26"/>
          <w:szCs w:val="26"/>
        </w:rPr>
        <w:t xml:space="preserve">             </w:t>
      </w:r>
      <w:r w:rsidRPr="00E20129">
        <w:rPr>
          <w:sz w:val="26"/>
          <w:szCs w:val="26"/>
        </w:rPr>
        <w:t xml:space="preserve">              Н. А. </w:t>
      </w:r>
      <w:proofErr w:type="spellStart"/>
      <w:r w:rsidRPr="00E20129">
        <w:rPr>
          <w:sz w:val="26"/>
          <w:szCs w:val="26"/>
        </w:rPr>
        <w:t>Кузмицкий</w:t>
      </w:r>
      <w:proofErr w:type="spellEnd"/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>Глава Суджанского района</w:t>
      </w:r>
    </w:p>
    <w:p w:rsidR="00D31B1E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 xml:space="preserve">Курской области                                                     </w:t>
      </w:r>
      <w:r>
        <w:rPr>
          <w:sz w:val="26"/>
          <w:szCs w:val="26"/>
        </w:rPr>
        <w:t xml:space="preserve">               </w:t>
      </w:r>
      <w:r w:rsidRPr="00E20129">
        <w:rPr>
          <w:sz w:val="26"/>
          <w:szCs w:val="26"/>
        </w:rPr>
        <w:t xml:space="preserve">           А. М. Богачёв</w:t>
      </w:r>
    </w:p>
    <w:sectPr w:rsidR="00D31B1E" w:rsidRPr="00E20129" w:rsidSect="00A72C0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6398"/>
    <w:multiLevelType w:val="hybridMultilevel"/>
    <w:tmpl w:val="C854BFE6"/>
    <w:lvl w:ilvl="0" w:tplc="340C2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F370D"/>
    <w:multiLevelType w:val="hybridMultilevel"/>
    <w:tmpl w:val="DECE402C"/>
    <w:lvl w:ilvl="0" w:tplc="7068E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29"/>
    <w:rsid w:val="004B1349"/>
    <w:rsid w:val="004D4329"/>
    <w:rsid w:val="00962453"/>
    <w:rsid w:val="00A51C6D"/>
    <w:rsid w:val="00A72C08"/>
    <w:rsid w:val="00D31B1E"/>
    <w:rsid w:val="00E20129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3822B4-AE3C-4007-8654-73103DE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E20129"/>
    <w:pPr>
      <w:keepNext/>
      <w:overflowPunct w:val="0"/>
      <w:autoSpaceDE w:val="0"/>
      <w:autoSpaceDN w:val="0"/>
      <w:adjustRightInd w:val="0"/>
      <w:jc w:val="center"/>
      <w:outlineLvl w:val="6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1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Title">
    <w:name w:val="ConsPlusTitle"/>
    <w:rsid w:val="00E20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201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201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rsid w:val="00E20129"/>
  </w:style>
  <w:style w:type="character" w:styleId="a3">
    <w:name w:val="Hyperlink"/>
    <w:uiPriority w:val="99"/>
    <w:unhideWhenUsed/>
    <w:rsid w:val="00E20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0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687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2019-10-17T12:48:00Z</cp:lastPrinted>
  <dcterms:created xsi:type="dcterms:W3CDTF">2019-10-16T11:59:00Z</dcterms:created>
  <dcterms:modified xsi:type="dcterms:W3CDTF">2019-10-17T12:57:00Z</dcterms:modified>
</cp:coreProperties>
</file>